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E17C7" w14:textId="66B22DDF" w:rsidR="00C54F16" w:rsidRDefault="00E072F9" w:rsidP="00DA4ADF">
      <w:pPr>
        <w:pStyle w:val="ListParagraph"/>
        <w:numPr>
          <w:ilvl w:val="0"/>
          <w:numId w:val="1"/>
        </w:numPr>
        <w:tabs>
          <w:tab w:val="left" w:pos="426"/>
        </w:tabs>
        <w:spacing w:before="93"/>
        <w:ind w:left="426" w:right="3" w:hanging="426"/>
      </w:pPr>
      <w:r>
        <w:t xml:space="preserve">The Public Advocate has a statutory responsibility to undertake systems advocacy on behalf of Queensland adults with impaired decision-making capacity. The functions of the Public Advocate are set out </w:t>
      </w:r>
      <w:r>
        <w:rPr>
          <w:spacing w:val="-3"/>
        </w:rPr>
        <w:t xml:space="preserve">in </w:t>
      </w:r>
      <w:r>
        <w:t xml:space="preserve">section 209 of the </w:t>
      </w:r>
      <w:r>
        <w:rPr>
          <w:i/>
        </w:rPr>
        <w:t>Guardianship and Administration Act</w:t>
      </w:r>
      <w:r w:rsidR="003F61E3">
        <w:rPr>
          <w:i/>
        </w:rPr>
        <w:t> </w:t>
      </w:r>
      <w:r>
        <w:rPr>
          <w:i/>
        </w:rPr>
        <w:t xml:space="preserve">2000 </w:t>
      </w:r>
      <w:r>
        <w:t>(the</w:t>
      </w:r>
      <w:r>
        <w:rPr>
          <w:spacing w:val="-3"/>
        </w:rPr>
        <w:t xml:space="preserve"> </w:t>
      </w:r>
      <w:r>
        <w:t>GAA).</w:t>
      </w:r>
    </w:p>
    <w:p w14:paraId="501E17C8" w14:textId="77777777" w:rsidR="00C54F16" w:rsidRDefault="00E072F9" w:rsidP="00DA4ADF">
      <w:pPr>
        <w:pStyle w:val="ListParagraph"/>
        <w:numPr>
          <w:ilvl w:val="0"/>
          <w:numId w:val="1"/>
        </w:numPr>
        <w:tabs>
          <w:tab w:val="left" w:pos="426"/>
        </w:tabs>
        <w:spacing w:before="198" w:line="242" w:lineRule="auto"/>
        <w:ind w:left="426" w:right="3" w:hanging="426"/>
      </w:pPr>
      <w:r>
        <w:t>Under section 209A of the GAA, the Public Advocate may prepare a report about a systemic matter which, once given to the Minister, must be tabled by the Minister within five sitting days after receiving the report.</w:t>
      </w:r>
    </w:p>
    <w:p w14:paraId="501E17C9" w14:textId="77777777" w:rsidR="00C54F16" w:rsidRDefault="00E072F9" w:rsidP="00DA4ADF">
      <w:pPr>
        <w:pStyle w:val="ListParagraph"/>
        <w:numPr>
          <w:ilvl w:val="0"/>
          <w:numId w:val="1"/>
        </w:numPr>
        <w:tabs>
          <w:tab w:val="left" w:pos="426"/>
        </w:tabs>
        <w:spacing w:before="194"/>
        <w:ind w:left="426" w:right="3" w:hanging="426"/>
      </w:pPr>
      <w:r>
        <w:t xml:space="preserve">On 22 January 2021, the Public Advocate provided the report – </w:t>
      </w:r>
      <w:r>
        <w:rPr>
          <w:i/>
        </w:rPr>
        <w:t xml:space="preserve">Preserving the financial futures of vulnerable Queenslanders: A Review of the Public Trustee fees, charges and practices </w:t>
      </w:r>
      <w:r>
        <w:t>(Public Advocate’s Report) to the Attorney-General and Minister for Justice, Minister for Women  and Minister  for the Prevention of Domestic and Family Violence.  In accordance with section 209A of the GAA it must be tabled by the 10 March</w:t>
      </w:r>
      <w:r>
        <w:rPr>
          <w:spacing w:val="-29"/>
        </w:rPr>
        <w:t xml:space="preserve"> </w:t>
      </w:r>
      <w:r>
        <w:t>2021.</w:t>
      </w:r>
    </w:p>
    <w:p w14:paraId="501E17CA" w14:textId="26135B09" w:rsidR="00C54F16" w:rsidRDefault="00E072F9" w:rsidP="00DA4ADF">
      <w:pPr>
        <w:pStyle w:val="ListParagraph"/>
        <w:numPr>
          <w:ilvl w:val="0"/>
          <w:numId w:val="1"/>
        </w:numPr>
        <w:tabs>
          <w:tab w:val="left" w:pos="426"/>
        </w:tabs>
        <w:spacing w:before="200"/>
        <w:ind w:left="426" w:right="3" w:hanging="426"/>
      </w:pPr>
      <w:r>
        <w:t>The Report makes 32 recommendations which are broad ranging and relate to the Public Trustee’s</w:t>
      </w:r>
      <w:r>
        <w:rPr>
          <w:spacing w:val="-17"/>
        </w:rPr>
        <w:t xml:space="preserve"> </w:t>
      </w:r>
      <w:r>
        <w:t>fees</w:t>
      </w:r>
      <w:r>
        <w:rPr>
          <w:spacing w:val="-16"/>
        </w:rPr>
        <w:t xml:space="preserve"> </w:t>
      </w:r>
      <w:r>
        <w:t>and</w:t>
      </w:r>
      <w:r>
        <w:rPr>
          <w:spacing w:val="-12"/>
        </w:rPr>
        <w:t xml:space="preserve"> </w:t>
      </w:r>
      <w:r>
        <w:t>charges,</w:t>
      </w:r>
      <w:r>
        <w:rPr>
          <w:spacing w:val="-15"/>
        </w:rPr>
        <w:t xml:space="preserve"> </w:t>
      </w:r>
      <w:r>
        <w:t>community</w:t>
      </w:r>
      <w:r>
        <w:rPr>
          <w:spacing w:val="-17"/>
        </w:rPr>
        <w:t xml:space="preserve"> </w:t>
      </w:r>
      <w:r>
        <w:t>service</w:t>
      </w:r>
      <w:r>
        <w:rPr>
          <w:spacing w:val="-19"/>
        </w:rPr>
        <w:t xml:space="preserve"> </w:t>
      </w:r>
      <w:r>
        <w:t>obligations,</w:t>
      </w:r>
      <w:r>
        <w:rPr>
          <w:spacing w:val="-15"/>
        </w:rPr>
        <w:t xml:space="preserve"> </w:t>
      </w:r>
      <w:r>
        <w:t>investment</w:t>
      </w:r>
      <w:r>
        <w:rPr>
          <w:spacing w:val="-16"/>
        </w:rPr>
        <w:t xml:space="preserve"> </w:t>
      </w:r>
      <w:r>
        <w:t>practices</w:t>
      </w:r>
      <w:r>
        <w:rPr>
          <w:spacing w:val="-20"/>
        </w:rPr>
        <w:t xml:space="preserve"> </w:t>
      </w:r>
      <w:r>
        <w:t>and</w:t>
      </w:r>
      <w:r>
        <w:rPr>
          <w:spacing w:val="-14"/>
        </w:rPr>
        <w:t xml:space="preserve"> </w:t>
      </w:r>
      <w:r>
        <w:t>legal services.</w:t>
      </w:r>
    </w:p>
    <w:p w14:paraId="4F982423" w14:textId="594E0C3F" w:rsidR="00547506" w:rsidRDefault="00547506" w:rsidP="00DA4ADF">
      <w:pPr>
        <w:pStyle w:val="ListParagraph"/>
        <w:numPr>
          <w:ilvl w:val="0"/>
          <w:numId w:val="1"/>
        </w:numPr>
        <w:tabs>
          <w:tab w:val="left" w:pos="426"/>
        </w:tabs>
        <w:spacing w:before="200"/>
        <w:ind w:left="426" w:right="3" w:hanging="426"/>
      </w:pPr>
      <w:r>
        <w:t>The government response to the ten recommendations of the report that are the responsibility of government</w:t>
      </w:r>
      <w:r w:rsidR="0032243D">
        <w:t xml:space="preserve"> accepts one recommendation</w:t>
      </w:r>
      <w:r w:rsidR="00073660">
        <w:t xml:space="preserve"> and</w:t>
      </w:r>
      <w:r w:rsidR="0032243D">
        <w:t xml:space="preserve"> supports</w:t>
      </w:r>
      <w:r w:rsidR="00073660">
        <w:t xml:space="preserve"> </w:t>
      </w:r>
      <w:r w:rsidR="0032243D">
        <w:t xml:space="preserve">five </w:t>
      </w:r>
      <w:r w:rsidR="00073660">
        <w:t>recommendations in principle, with four recommendations subject to further consideration.</w:t>
      </w:r>
    </w:p>
    <w:p w14:paraId="474E8D09" w14:textId="61A497B1" w:rsidR="004F6CE3" w:rsidRPr="00D11025" w:rsidRDefault="004F6CE3" w:rsidP="00DA4ADF">
      <w:pPr>
        <w:pStyle w:val="ListParagraph"/>
        <w:numPr>
          <w:ilvl w:val="0"/>
          <w:numId w:val="1"/>
        </w:numPr>
        <w:tabs>
          <w:tab w:val="left" w:pos="426"/>
        </w:tabs>
        <w:ind w:left="426" w:right="3" w:hanging="426"/>
      </w:pPr>
      <w:r w:rsidRPr="00690532">
        <w:rPr>
          <w:u w:val="single"/>
        </w:rPr>
        <w:t>Cabinet noted</w:t>
      </w:r>
      <w:r>
        <w:t xml:space="preserve"> </w:t>
      </w:r>
      <w:r w:rsidR="00535222" w:rsidRPr="00690532">
        <w:rPr>
          <w:lang w:val="en-US"/>
        </w:rPr>
        <w:t xml:space="preserve">the Public Advocate’s Report - </w:t>
      </w:r>
      <w:r w:rsidR="00535222" w:rsidRPr="00690532">
        <w:rPr>
          <w:i/>
          <w:iCs/>
          <w:lang w:val="en-US"/>
        </w:rPr>
        <w:t xml:space="preserve">Preserving the financial futures of vulnerable Queenslanders: A Review of the Public Trustee fees, charges and practices </w:t>
      </w:r>
      <w:r w:rsidR="00535222" w:rsidRPr="00690532">
        <w:rPr>
          <w:lang w:val="en-US"/>
        </w:rPr>
        <w:t>– (Public Advocate’s Report) that will be tabled in the Legislative Assembly</w:t>
      </w:r>
      <w:r w:rsidR="00535222" w:rsidRPr="00547506">
        <w:rPr>
          <w:lang w:val="en-US"/>
        </w:rPr>
        <w:t>.</w:t>
      </w:r>
    </w:p>
    <w:p w14:paraId="6D41A663" w14:textId="60E44769" w:rsidR="00D11025" w:rsidRDefault="00E072F9" w:rsidP="00DA4ADF">
      <w:pPr>
        <w:pStyle w:val="ListParagraph"/>
        <w:numPr>
          <w:ilvl w:val="0"/>
          <w:numId w:val="1"/>
        </w:numPr>
        <w:tabs>
          <w:tab w:val="left" w:pos="426"/>
        </w:tabs>
        <w:ind w:left="426" w:right="3" w:hanging="426"/>
      </w:pPr>
      <w:r>
        <w:rPr>
          <w:u w:val="single"/>
        </w:rPr>
        <w:t>Cabinet approved</w:t>
      </w:r>
      <w:r>
        <w:t xml:space="preserve"> the release of </w:t>
      </w:r>
      <w:r w:rsidR="00D11025">
        <w:t>t</w:t>
      </w:r>
      <w:r>
        <w:t>he government response to the Public Advocate’s Report</w:t>
      </w:r>
      <w:r w:rsidR="00D11025">
        <w:t>.</w:t>
      </w:r>
      <w:r>
        <w:t xml:space="preserve"> </w:t>
      </w:r>
    </w:p>
    <w:p w14:paraId="501E17CB" w14:textId="19EA0227" w:rsidR="00C54F16" w:rsidRDefault="00E072F9" w:rsidP="00DA4ADF">
      <w:pPr>
        <w:pStyle w:val="ListParagraph"/>
        <w:numPr>
          <w:ilvl w:val="0"/>
          <w:numId w:val="1"/>
        </w:numPr>
        <w:tabs>
          <w:tab w:val="left" w:pos="426"/>
        </w:tabs>
        <w:ind w:left="426" w:right="3" w:hanging="426"/>
      </w:pPr>
      <w:r>
        <w:rPr>
          <w:u w:val="single"/>
        </w:rPr>
        <w:t>Cabinet approved</w:t>
      </w:r>
      <w:r>
        <w:t xml:space="preserve"> </w:t>
      </w:r>
      <w:r w:rsidR="004F712E">
        <w:t>establishment of</w:t>
      </w:r>
      <w:r>
        <w:t xml:space="preserve"> a Public Trustee Board.</w:t>
      </w:r>
    </w:p>
    <w:p w14:paraId="501E17CC" w14:textId="77777777" w:rsidR="00C54F16" w:rsidRDefault="00E072F9" w:rsidP="00DA4ADF">
      <w:pPr>
        <w:pStyle w:val="ListParagraph"/>
        <w:numPr>
          <w:ilvl w:val="0"/>
          <w:numId w:val="1"/>
        </w:numPr>
        <w:tabs>
          <w:tab w:val="left" w:pos="426"/>
        </w:tabs>
        <w:ind w:left="426" w:right="3" w:hanging="426"/>
        <w:rPr>
          <w:i/>
        </w:rPr>
      </w:pPr>
      <w:r>
        <w:rPr>
          <w:i/>
          <w:u w:val="single"/>
        </w:rPr>
        <w:t>Attachments</w:t>
      </w:r>
    </w:p>
    <w:p w14:paraId="501E17CD" w14:textId="604D1DDA" w:rsidR="00C54F16" w:rsidRDefault="004B6F13" w:rsidP="00DA4ADF">
      <w:pPr>
        <w:pStyle w:val="ListParagraph"/>
        <w:numPr>
          <w:ilvl w:val="1"/>
          <w:numId w:val="1"/>
        </w:numPr>
        <w:tabs>
          <w:tab w:val="left" w:pos="851"/>
        </w:tabs>
        <w:spacing w:before="209" w:line="232" w:lineRule="auto"/>
        <w:ind w:left="851" w:right="3" w:hanging="425"/>
        <w:jc w:val="left"/>
      </w:pPr>
      <w:hyperlink r:id="rId10" w:history="1">
        <w:r w:rsidR="00E072F9" w:rsidRPr="008C47D3">
          <w:rPr>
            <w:rStyle w:val="Hyperlink"/>
            <w:i/>
          </w:rPr>
          <w:t>Preserving the financial futures of vulnerable Queenslanders: A Review of the Public Trustee</w:t>
        </w:r>
        <w:r w:rsidR="00E072F9" w:rsidRPr="008C47D3">
          <w:rPr>
            <w:rStyle w:val="Hyperlink"/>
            <w:i/>
            <w:spacing w:val="-5"/>
          </w:rPr>
          <w:t xml:space="preserve"> </w:t>
        </w:r>
        <w:r w:rsidR="00E072F9" w:rsidRPr="008C47D3">
          <w:rPr>
            <w:rStyle w:val="Hyperlink"/>
            <w:i/>
          </w:rPr>
          <w:t>fees,</w:t>
        </w:r>
        <w:r w:rsidR="00E072F9" w:rsidRPr="008C47D3">
          <w:rPr>
            <w:rStyle w:val="Hyperlink"/>
            <w:i/>
            <w:spacing w:val="-5"/>
          </w:rPr>
          <w:t xml:space="preserve"> </w:t>
        </w:r>
        <w:r w:rsidR="00E072F9" w:rsidRPr="008C47D3">
          <w:rPr>
            <w:rStyle w:val="Hyperlink"/>
            <w:i/>
          </w:rPr>
          <w:t>charges</w:t>
        </w:r>
        <w:r w:rsidR="00E072F9" w:rsidRPr="008C47D3">
          <w:rPr>
            <w:rStyle w:val="Hyperlink"/>
            <w:i/>
            <w:spacing w:val="-6"/>
          </w:rPr>
          <w:t xml:space="preserve"> </w:t>
        </w:r>
        <w:r w:rsidR="00E072F9" w:rsidRPr="008C47D3">
          <w:rPr>
            <w:rStyle w:val="Hyperlink"/>
            <w:i/>
          </w:rPr>
          <w:t>and</w:t>
        </w:r>
        <w:r w:rsidR="00E072F9" w:rsidRPr="008C47D3">
          <w:rPr>
            <w:rStyle w:val="Hyperlink"/>
            <w:i/>
            <w:spacing w:val="-4"/>
          </w:rPr>
          <w:t xml:space="preserve"> </w:t>
        </w:r>
        <w:r w:rsidR="00E072F9" w:rsidRPr="008C47D3">
          <w:rPr>
            <w:rStyle w:val="Hyperlink"/>
            <w:i/>
          </w:rPr>
          <w:t>practices</w:t>
        </w:r>
        <w:r w:rsidR="00E072F9" w:rsidRPr="008C47D3">
          <w:rPr>
            <w:rStyle w:val="Hyperlink"/>
            <w:i/>
            <w:spacing w:val="-6"/>
          </w:rPr>
          <w:t xml:space="preserve"> </w:t>
        </w:r>
        <w:r w:rsidR="00E072F9" w:rsidRPr="008C47D3">
          <w:rPr>
            <w:rStyle w:val="Hyperlink"/>
          </w:rPr>
          <w:t>–</w:t>
        </w:r>
        <w:r w:rsidR="00E072F9" w:rsidRPr="008C47D3">
          <w:rPr>
            <w:rStyle w:val="Hyperlink"/>
            <w:spacing w:val="1"/>
          </w:rPr>
          <w:t xml:space="preserve"> </w:t>
        </w:r>
        <w:r w:rsidR="00E072F9" w:rsidRPr="008C47D3">
          <w:rPr>
            <w:rStyle w:val="Hyperlink"/>
          </w:rPr>
          <w:t>Report</w:t>
        </w:r>
        <w:r w:rsidR="00E072F9" w:rsidRPr="008C47D3">
          <w:rPr>
            <w:rStyle w:val="Hyperlink"/>
            <w:spacing w:val="-5"/>
          </w:rPr>
          <w:t xml:space="preserve"> </w:t>
        </w:r>
        <w:r w:rsidR="00E072F9" w:rsidRPr="008C47D3">
          <w:rPr>
            <w:rStyle w:val="Hyperlink"/>
          </w:rPr>
          <w:t>by</w:t>
        </w:r>
        <w:r w:rsidR="00E072F9" w:rsidRPr="008C47D3">
          <w:rPr>
            <w:rStyle w:val="Hyperlink"/>
            <w:spacing w:val="-6"/>
          </w:rPr>
          <w:t xml:space="preserve"> </w:t>
        </w:r>
        <w:r w:rsidR="00E072F9" w:rsidRPr="008C47D3">
          <w:rPr>
            <w:rStyle w:val="Hyperlink"/>
          </w:rPr>
          <w:t>the</w:t>
        </w:r>
        <w:r w:rsidR="00E072F9" w:rsidRPr="008C47D3">
          <w:rPr>
            <w:rStyle w:val="Hyperlink"/>
            <w:spacing w:val="-4"/>
          </w:rPr>
          <w:t xml:space="preserve"> </w:t>
        </w:r>
        <w:r w:rsidR="00E072F9" w:rsidRPr="008C47D3">
          <w:rPr>
            <w:rStyle w:val="Hyperlink"/>
          </w:rPr>
          <w:t>Public</w:t>
        </w:r>
        <w:r w:rsidR="00E072F9" w:rsidRPr="008C47D3">
          <w:rPr>
            <w:rStyle w:val="Hyperlink"/>
            <w:spacing w:val="-6"/>
          </w:rPr>
          <w:t xml:space="preserve"> </w:t>
        </w:r>
        <w:r w:rsidR="00E072F9" w:rsidRPr="008C47D3">
          <w:rPr>
            <w:rStyle w:val="Hyperlink"/>
          </w:rPr>
          <w:t>Advocate</w:t>
        </w:r>
        <w:r w:rsidR="00E072F9" w:rsidRPr="008C47D3">
          <w:rPr>
            <w:rStyle w:val="Hyperlink"/>
            <w:spacing w:val="-1"/>
          </w:rPr>
          <w:t xml:space="preserve"> </w:t>
        </w:r>
        <w:r w:rsidR="00E072F9" w:rsidRPr="008C47D3">
          <w:rPr>
            <w:rStyle w:val="Hyperlink"/>
          </w:rPr>
          <w:t>(January</w:t>
        </w:r>
        <w:r w:rsidR="00E072F9" w:rsidRPr="008C47D3">
          <w:rPr>
            <w:rStyle w:val="Hyperlink"/>
            <w:spacing w:val="-6"/>
          </w:rPr>
          <w:t xml:space="preserve"> </w:t>
        </w:r>
        <w:r w:rsidR="00E072F9" w:rsidRPr="008C47D3">
          <w:rPr>
            <w:rStyle w:val="Hyperlink"/>
          </w:rPr>
          <w:t>2021)</w:t>
        </w:r>
      </w:hyperlink>
    </w:p>
    <w:p w14:paraId="28AA0D87" w14:textId="46AE694C" w:rsidR="00D11025" w:rsidRDefault="004B6F13" w:rsidP="00DA4ADF">
      <w:pPr>
        <w:pStyle w:val="ListParagraph"/>
        <w:numPr>
          <w:ilvl w:val="1"/>
          <w:numId w:val="1"/>
        </w:numPr>
        <w:tabs>
          <w:tab w:val="left" w:pos="851"/>
        </w:tabs>
        <w:spacing w:before="209" w:line="232" w:lineRule="auto"/>
        <w:ind w:left="851" w:right="3" w:hanging="425"/>
        <w:jc w:val="left"/>
      </w:pPr>
      <w:hyperlink r:id="rId11" w:history="1">
        <w:r w:rsidR="00D11025" w:rsidRPr="008C47D3">
          <w:rPr>
            <w:rStyle w:val="Hyperlink"/>
            <w:i/>
          </w:rPr>
          <w:t>Government response</w:t>
        </w:r>
      </w:hyperlink>
    </w:p>
    <w:sectPr w:rsidR="00D11025" w:rsidSect="00DA4ADF">
      <w:headerReference w:type="default" r:id="rId12"/>
      <w:type w:val="continuous"/>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2DD8" w14:textId="77777777" w:rsidR="003A4880" w:rsidRDefault="003A4880" w:rsidP="008C40FC">
      <w:r>
        <w:separator/>
      </w:r>
    </w:p>
  </w:endnote>
  <w:endnote w:type="continuationSeparator" w:id="0">
    <w:p w14:paraId="02F16F2F" w14:textId="77777777" w:rsidR="003A4880" w:rsidRDefault="003A4880" w:rsidP="008C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97A7" w14:textId="77777777" w:rsidR="003A4880" w:rsidRDefault="003A4880" w:rsidP="008C40FC">
      <w:r>
        <w:separator/>
      </w:r>
    </w:p>
  </w:footnote>
  <w:footnote w:type="continuationSeparator" w:id="0">
    <w:p w14:paraId="7F00696B" w14:textId="77777777" w:rsidR="003A4880" w:rsidRDefault="003A4880" w:rsidP="008C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3C89" w14:textId="77777777" w:rsidR="008C40FC" w:rsidRPr="00937A4A" w:rsidRDefault="008C40FC" w:rsidP="008C40FC">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46EB3B9F" w14:textId="77777777" w:rsidR="008C40FC" w:rsidRPr="00937A4A" w:rsidRDefault="008C40FC" w:rsidP="008C40FC">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495B1329" w14:textId="5CF39962" w:rsidR="008C40FC" w:rsidRPr="00937A4A" w:rsidRDefault="008C40FC" w:rsidP="008C40FC">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sidR="00C373A0">
      <w:rPr>
        <w:b/>
      </w:rPr>
      <w:t>March 2021</w:t>
    </w:r>
  </w:p>
  <w:p w14:paraId="45FAE1EA" w14:textId="6DB2AAFE" w:rsidR="008C40FC" w:rsidRDefault="00C373A0" w:rsidP="00C373A0">
    <w:pPr>
      <w:pStyle w:val="Header"/>
      <w:spacing w:before="120"/>
      <w:rPr>
        <w:b/>
        <w:u w:val="single"/>
      </w:rPr>
    </w:pPr>
    <w:r w:rsidRPr="00C373A0">
      <w:rPr>
        <w:b/>
        <w:u w:val="single"/>
        <w:lang w:val="en-US"/>
      </w:rPr>
      <w:t>Public Advocate’s Report: Preserving the financial futures of vulnerable Queenslanders-A Review of the Public Trustee fees, charges and practices</w:t>
    </w:r>
  </w:p>
  <w:p w14:paraId="44B99590" w14:textId="43853071" w:rsidR="008C40FC" w:rsidRDefault="00DA4ADF" w:rsidP="008C40FC">
    <w:pPr>
      <w:pStyle w:val="Header"/>
      <w:spacing w:before="120"/>
      <w:rPr>
        <w:b/>
        <w:u w:val="single"/>
      </w:rPr>
    </w:pPr>
    <w:r>
      <w:rPr>
        <w:b/>
        <w:u w:val="single"/>
      </w:rPr>
      <w:t xml:space="preserve">Attorney-General and </w:t>
    </w:r>
    <w:r w:rsidR="008C40FC">
      <w:rPr>
        <w:b/>
        <w:u w:val="single"/>
      </w:rPr>
      <w:t>Minister</w:t>
    </w:r>
    <w:r>
      <w:rPr>
        <w:b/>
        <w:u w:val="single"/>
      </w:rPr>
      <w:t xml:space="preserve"> for Justice, Minister for Women and Minister for the Prevention of Domestic and Family Violence</w:t>
    </w:r>
  </w:p>
  <w:p w14:paraId="1EABA110" w14:textId="77777777" w:rsidR="008C40FC" w:rsidRDefault="008C40FC" w:rsidP="008C40FC">
    <w:pPr>
      <w:pStyle w:val="Header"/>
      <w:pBdr>
        <w:bottom w:val="single" w:sz="4" w:space="1" w:color="auto"/>
      </w:pBdr>
    </w:pPr>
  </w:p>
  <w:p w14:paraId="3A761FE3" w14:textId="77777777" w:rsidR="008C40FC" w:rsidRDefault="008C4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051E8"/>
    <w:multiLevelType w:val="hybridMultilevel"/>
    <w:tmpl w:val="40FEB836"/>
    <w:lvl w:ilvl="0" w:tplc="825EE866">
      <w:start w:val="1"/>
      <w:numFmt w:val="decimal"/>
      <w:lvlText w:val="%1."/>
      <w:lvlJc w:val="left"/>
      <w:pPr>
        <w:ind w:left="580" w:hanging="360"/>
      </w:pPr>
      <w:rPr>
        <w:rFonts w:ascii="Arial" w:eastAsia="Arial" w:hAnsi="Arial" w:cs="Arial" w:hint="default"/>
        <w:i w:val="0"/>
        <w:iCs/>
        <w:spacing w:val="0"/>
        <w:w w:val="100"/>
        <w:sz w:val="22"/>
        <w:szCs w:val="22"/>
        <w:lang w:val="en-AU" w:eastAsia="en-US" w:bidi="ar-SA"/>
      </w:rPr>
    </w:lvl>
    <w:lvl w:ilvl="1" w:tplc="3BC69450">
      <w:numFmt w:val="bullet"/>
      <w:lvlText w:val=""/>
      <w:lvlJc w:val="left"/>
      <w:pPr>
        <w:ind w:left="1032" w:hanging="457"/>
      </w:pPr>
      <w:rPr>
        <w:rFonts w:ascii="Symbol" w:eastAsia="Symbol" w:hAnsi="Symbol" w:cs="Symbol" w:hint="default"/>
        <w:w w:val="100"/>
        <w:sz w:val="23"/>
        <w:szCs w:val="23"/>
        <w:lang w:val="en-AU" w:eastAsia="en-US" w:bidi="ar-SA"/>
      </w:rPr>
    </w:lvl>
    <w:lvl w:ilvl="2" w:tplc="29BECA14">
      <w:numFmt w:val="bullet"/>
      <w:lvlText w:val="•"/>
      <w:lvlJc w:val="left"/>
      <w:pPr>
        <w:ind w:left="1976" w:hanging="457"/>
      </w:pPr>
      <w:rPr>
        <w:rFonts w:hint="default"/>
        <w:lang w:val="en-AU" w:eastAsia="en-US" w:bidi="ar-SA"/>
      </w:rPr>
    </w:lvl>
    <w:lvl w:ilvl="3" w:tplc="051A1FFE">
      <w:numFmt w:val="bullet"/>
      <w:lvlText w:val="•"/>
      <w:lvlJc w:val="left"/>
      <w:pPr>
        <w:ind w:left="2912" w:hanging="457"/>
      </w:pPr>
      <w:rPr>
        <w:rFonts w:hint="default"/>
        <w:lang w:val="en-AU" w:eastAsia="en-US" w:bidi="ar-SA"/>
      </w:rPr>
    </w:lvl>
    <w:lvl w:ilvl="4" w:tplc="D61C82E8">
      <w:numFmt w:val="bullet"/>
      <w:lvlText w:val="•"/>
      <w:lvlJc w:val="left"/>
      <w:pPr>
        <w:ind w:left="3848" w:hanging="457"/>
      </w:pPr>
      <w:rPr>
        <w:rFonts w:hint="default"/>
        <w:lang w:val="en-AU" w:eastAsia="en-US" w:bidi="ar-SA"/>
      </w:rPr>
    </w:lvl>
    <w:lvl w:ilvl="5" w:tplc="5C1C1E82">
      <w:numFmt w:val="bullet"/>
      <w:lvlText w:val="•"/>
      <w:lvlJc w:val="left"/>
      <w:pPr>
        <w:ind w:left="4784" w:hanging="457"/>
      </w:pPr>
      <w:rPr>
        <w:rFonts w:hint="default"/>
        <w:lang w:val="en-AU" w:eastAsia="en-US" w:bidi="ar-SA"/>
      </w:rPr>
    </w:lvl>
    <w:lvl w:ilvl="6" w:tplc="D160D492">
      <w:numFmt w:val="bullet"/>
      <w:lvlText w:val="•"/>
      <w:lvlJc w:val="left"/>
      <w:pPr>
        <w:ind w:left="5720" w:hanging="457"/>
      </w:pPr>
      <w:rPr>
        <w:rFonts w:hint="default"/>
        <w:lang w:val="en-AU" w:eastAsia="en-US" w:bidi="ar-SA"/>
      </w:rPr>
    </w:lvl>
    <w:lvl w:ilvl="7" w:tplc="63FC5728">
      <w:numFmt w:val="bullet"/>
      <w:lvlText w:val="•"/>
      <w:lvlJc w:val="left"/>
      <w:pPr>
        <w:ind w:left="6656" w:hanging="457"/>
      </w:pPr>
      <w:rPr>
        <w:rFonts w:hint="default"/>
        <w:lang w:val="en-AU" w:eastAsia="en-US" w:bidi="ar-SA"/>
      </w:rPr>
    </w:lvl>
    <w:lvl w:ilvl="8" w:tplc="260E4440">
      <w:numFmt w:val="bullet"/>
      <w:lvlText w:val="•"/>
      <w:lvlJc w:val="left"/>
      <w:pPr>
        <w:ind w:left="7592" w:hanging="457"/>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16"/>
    <w:rsid w:val="00073660"/>
    <w:rsid w:val="00086714"/>
    <w:rsid w:val="00203CA6"/>
    <w:rsid w:val="0032243D"/>
    <w:rsid w:val="00396C35"/>
    <w:rsid w:val="003A4880"/>
    <w:rsid w:val="003F61E3"/>
    <w:rsid w:val="004B6F13"/>
    <w:rsid w:val="004F6CE3"/>
    <w:rsid w:val="004F712E"/>
    <w:rsid w:val="00535222"/>
    <w:rsid w:val="00547506"/>
    <w:rsid w:val="00690532"/>
    <w:rsid w:val="00753384"/>
    <w:rsid w:val="00874B4C"/>
    <w:rsid w:val="008C40FC"/>
    <w:rsid w:val="008C47D3"/>
    <w:rsid w:val="00A34784"/>
    <w:rsid w:val="00AD1476"/>
    <w:rsid w:val="00BA22F3"/>
    <w:rsid w:val="00C373A0"/>
    <w:rsid w:val="00C54F16"/>
    <w:rsid w:val="00D11025"/>
    <w:rsid w:val="00D16E81"/>
    <w:rsid w:val="00DA4ADF"/>
    <w:rsid w:val="00E0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4"/>
      <w:ind w:right="209"/>
      <w:jc w:val="right"/>
    </w:pPr>
    <w:rPr>
      <w:rFonts w:ascii="Times New Roman" w:eastAsia="Times New Roman" w:hAnsi="Times New Roman" w:cs="Times New Roman"/>
      <w:sz w:val="24"/>
      <w:szCs w:val="24"/>
    </w:rPr>
  </w:style>
  <w:style w:type="paragraph" w:styleId="ListParagraph">
    <w:name w:val="List Paragraph"/>
    <w:basedOn w:val="Normal"/>
    <w:uiPriority w:val="1"/>
    <w:qFormat/>
    <w:pPr>
      <w:spacing w:before="201"/>
      <w:ind w:left="580"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86714"/>
    <w:rPr>
      <w:sz w:val="16"/>
      <w:szCs w:val="16"/>
    </w:rPr>
  </w:style>
  <w:style w:type="paragraph" w:styleId="CommentText">
    <w:name w:val="annotation text"/>
    <w:basedOn w:val="Normal"/>
    <w:link w:val="CommentTextChar"/>
    <w:uiPriority w:val="99"/>
    <w:semiHidden/>
    <w:unhideWhenUsed/>
    <w:rsid w:val="00086714"/>
    <w:rPr>
      <w:sz w:val="20"/>
      <w:szCs w:val="20"/>
    </w:rPr>
  </w:style>
  <w:style w:type="character" w:customStyle="1" w:styleId="CommentTextChar">
    <w:name w:val="Comment Text Char"/>
    <w:basedOn w:val="DefaultParagraphFont"/>
    <w:link w:val="CommentText"/>
    <w:uiPriority w:val="99"/>
    <w:semiHidden/>
    <w:rsid w:val="00086714"/>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86714"/>
    <w:rPr>
      <w:b/>
      <w:bCs/>
    </w:rPr>
  </w:style>
  <w:style w:type="character" w:customStyle="1" w:styleId="CommentSubjectChar">
    <w:name w:val="Comment Subject Char"/>
    <w:basedOn w:val="CommentTextChar"/>
    <w:link w:val="CommentSubject"/>
    <w:uiPriority w:val="99"/>
    <w:semiHidden/>
    <w:rsid w:val="00086714"/>
    <w:rPr>
      <w:rFonts w:ascii="Arial" w:eastAsia="Arial" w:hAnsi="Arial" w:cs="Arial"/>
      <w:b/>
      <w:bCs/>
      <w:sz w:val="20"/>
      <w:szCs w:val="20"/>
      <w:lang w:val="en-AU"/>
    </w:rPr>
  </w:style>
  <w:style w:type="paragraph" w:styleId="BalloonText">
    <w:name w:val="Balloon Text"/>
    <w:basedOn w:val="Normal"/>
    <w:link w:val="BalloonTextChar"/>
    <w:uiPriority w:val="99"/>
    <w:semiHidden/>
    <w:unhideWhenUsed/>
    <w:rsid w:val="00A34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784"/>
    <w:rPr>
      <w:rFonts w:ascii="Segoe UI" w:eastAsia="Arial" w:hAnsi="Segoe UI" w:cs="Segoe UI"/>
      <w:sz w:val="18"/>
      <w:szCs w:val="18"/>
      <w:lang w:val="en-AU"/>
    </w:rPr>
  </w:style>
  <w:style w:type="paragraph" w:styleId="Header">
    <w:name w:val="header"/>
    <w:basedOn w:val="Normal"/>
    <w:link w:val="HeaderChar"/>
    <w:uiPriority w:val="99"/>
    <w:unhideWhenUsed/>
    <w:rsid w:val="008C40FC"/>
    <w:pPr>
      <w:tabs>
        <w:tab w:val="center" w:pos="4680"/>
        <w:tab w:val="right" w:pos="9360"/>
      </w:tabs>
    </w:pPr>
  </w:style>
  <w:style w:type="character" w:customStyle="1" w:styleId="HeaderChar">
    <w:name w:val="Header Char"/>
    <w:basedOn w:val="DefaultParagraphFont"/>
    <w:link w:val="Header"/>
    <w:uiPriority w:val="99"/>
    <w:rsid w:val="008C40FC"/>
    <w:rPr>
      <w:rFonts w:ascii="Arial" w:eastAsia="Arial" w:hAnsi="Arial" w:cs="Arial"/>
      <w:lang w:val="en-AU"/>
    </w:rPr>
  </w:style>
  <w:style w:type="paragraph" w:styleId="Footer">
    <w:name w:val="footer"/>
    <w:basedOn w:val="Normal"/>
    <w:link w:val="FooterChar"/>
    <w:uiPriority w:val="99"/>
    <w:unhideWhenUsed/>
    <w:rsid w:val="008C40FC"/>
    <w:pPr>
      <w:tabs>
        <w:tab w:val="center" w:pos="4680"/>
        <w:tab w:val="right" w:pos="9360"/>
      </w:tabs>
    </w:pPr>
  </w:style>
  <w:style w:type="character" w:customStyle="1" w:styleId="FooterChar">
    <w:name w:val="Footer Char"/>
    <w:basedOn w:val="DefaultParagraphFont"/>
    <w:link w:val="Footer"/>
    <w:uiPriority w:val="99"/>
    <w:rsid w:val="008C40FC"/>
    <w:rPr>
      <w:rFonts w:ascii="Arial" w:eastAsia="Arial" w:hAnsi="Arial" w:cs="Arial"/>
      <w:lang w:val="en-AU"/>
    </w:rPr>
  </w:style>
  <w:style w:type="character" w:styleId="Hyperlink">
    <w:name w:val="Hyperlink"/>
    <w:basedOn w:val="DefaultParagraphFont"/>
    <w:uiPriority w:val="99"/>
    <w:unhideWhenUsed/>
    <w:rsid w:val="008C47D3"/>
    <w:rPr>
      <w:color w:val="0000FF" w:themeColor="hyperlink"/>
      <w:u w:val="single"/>
    </w:rPr>
  </w:style>
  <w:style w:type="character" w:styleId="UnresolvedMention">
    <w:name w:val="Unresolved Mention"/>
    <w:basedOn w:val="DefaultParagraphFont"/>
    <w:uiPriority w:val="99"/>
    <w:semiHidden/>
    <w:unhideWhenUsed/>
    <w:rsid w:val="008C4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ponse.PDF" TargetMode="External"/><Relationship Id="rId5" Type="http://schemas.openxmlformats.org/officeDocument/2006/relationships/styles" Target="styles.xml"/><Relationship Id="rId10" Type="http://schemas.openxmlformats.org/officeDocument/2006/relationships/hyperlink" Target="Attachments/PA%20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684D6-75EB-474D-8C5D-57F544214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F610D-E980-48C3-942B-19D4B781F4E6}">
  <ds:schemaRefs>
    <ds:schemaRef ds:uri="http://schemas.microsoft.com/sharepoint/v3/contenttype/forms"/>
  </ds:schemaRefs>
</ds:datastoreItem>
</file>

<file path=customXml/itemProps3.xml><?xml version="1.0" encoding="utf-8"?>
<ds:datastoreItem xmlns:ds="http://schemas.openxmlformats.org/officeDocument/2006/customXml" ds:itemID="{9F00B488-9629-4470-98EC-BF227059251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3e311de-a790-43ff-be63-577c26c7507c"/>
    <ds:schemaRef ds:uri="http://purl.org/dc/elements/1.1/"/>
    <ds:schemaRef ds:uri="http://schemas.microsoft.com/office/2006/metadata/properties"/>
    <ds:schemaRef ds:uri="b8ed82f2-f7bd-423c-8698-5e132afe924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1666</Characters>
  <Application>Microsoft Office Word</Application>
  <DocSecurity>0</DocSecurity>
  <Lines>26</Lines>
  <Paragraphs>11</Paragraphs>
  <ScaleCrop>false</ScaleCrop>
  <HeadingPairs>
    <vt:vector size="2" baseType="variant">
      <vt:variant>
        <vt:lpstr>Title</vt:lpstr>
      </vt:variant>
      <vt:variant>
        <vt:i4>1</vt:i4>
      </vt:variant>
    </vt:vector>
  </HeadingPairs>
  <TitlesOfParts>
    <vt:vector size="1" baseType="lpstr">
      <vt:lpstr>Cabinet Submission</vt:lpstr>
    </vt:vector>
  </TitlesOfParts>
  <Company/>
  <LinksUpToDate>false</LinksUpToDate>
  <CharactersWithSpaces>1959</CharactersWithSpaces>
  <SharedDoc>false</SharedDoc>
  <HyperlinkBase>https://www.cabinet.qld.gov.au/documents/2021/Mar/Public Advocate/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Submission</dc:title>
  <dc:creator/>
  <cp:lastModifiedBy/>
  <cp:revision>9</cp:revision>
  <dcterms:created xsi:type="dcterms:W3CDTF">2021-04-14T04:29:00Z</dcterms:created>
  <dcterms:modified xsi:type="dcterms:W3CDTF">2021-06-15T01:54:00Z</dcterms:modified>
  <cp:category>Public_Trustee,Financial_Administration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for Microsoft 365</vt:lpwstr>
  </property>
  <property fmtid="{D5CDD505-2E9C-101B-9397-08002B2CF9AE}" pid="4" name="LastSaved">
    <vt:filetime>2021-03-12T00:00:00Z</vt:filetime>
  </property>
  <property fmtid="{D5CDD505-2E9C-101B-9397-08002B2CF9AE}" pid="5" name="ContentTypeId">
    <vt:lpwstr>0x010100DDE14CFDD070B24F85F5DE43654FF01E</vt:lpwstr>
  </property>
</Properties>
</file>